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2-962</w:t>
      </w:r>
      <w:r>
        <w:rPr>
          <w:rFonts w:ascii="Times New Roman" w:eastAsia="Times New Roman" w:hAnsi="Times New Roman" w:cs="Times New Roman"/>
        </w:rPr>
        <w:t>-0501/2026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0019-01-2026-000446-0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(СНИЛС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взносам на капитальный ремонт общего имущества в многоквартирном доме, расположенному по адресу: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пропорционально доли в праве общей долевой собственности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21 995 рублей 52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 сентября 2014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года,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капитальный ремонт общего имущества в многоквартирном доме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2014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514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75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31 510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 тысяча пятьсот десять) рублей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верна.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2"/>
          <w:szCs w:val="22"/>
        </w:rPr>
        <w:t>962</w:t>
      </w:r>
      <w:r>
        <w:rPr>
          <w:rFonts w:ascii="Times New Roman" w:eastAsia="Times New Roman" w:hAnsi="Times New Roman" w:cs="Times New Roman"/>
          <w:sz w:val="22"/>
          <w:szCs w:val="22"/>
        </w:rPr>
        <w:t>-0501 за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год. «Решение не вступило в законную силу».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